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990"/>
        <w:tblW w:w="15081" w:type="dxa"/>
        <w:tblLook w:val="04A0"/>
      </w:tblPr>
      <w:tblGrid>
        <w:gridCol w:w="6009"/>
        <w:gridCol w:w="2268"/>
        <w:gridCol w:w="2268"/>
        <w:gridCol w:w="2268"/>
        <w:gridCol w:w="2268"/>
      </w:tblGrid>
      <w:tr w:rsidR="00B40678" w:rsidRPr="0087521F" w:rsidTr="004A2057">
        <w:trPr>
          <w:trHeight w:val="841"/>
        </w:trPr>
        <w:tc>
          <w:tcPr>
            <w:tcW w:w="6009" w:type="dxa"/>
            <w:vMerge w:val="restart"/>
            <w:shd w:val="clear" w:color="auto" w:fill="B6DDE8" w:themeFill="accent5" w:themeFillTint="66"/>
            <w:vAlign w:val="center"/>
          </w:tcPr>
          <w:p w:rsidR="0090478D" w:rsidRPr="0087521F" w:rsidRDefault="0090478D" w:rsidP="004A2057">
            <w:pPr>
              <w:jc w:val="center"/>
              <w:rPr>
                <w:b/>
                <w:sz w:val="24"/>
              </w:rPr>
            </w:pPr>
            <w:r w:rsidRPr="0087521F">
              <w:rPr>
                <w:b/>
                <w:sz w:val="32"/>
              </w:rPr>
              <w:t>ELENCO QUADRI E CHECK LIST</w:t>
            </w:r>
          </w:p>
        </w:tc>
        <w:tc>
          <w:tcPr>
            <w:tcW w:w="4535" w:type="dxa"/>
            <w:gridSpan w:val="2"/>
            <w:shd w:val="clear" w:color="auto" w:fill="B6DDE8" w:themeFill="accent5" w:themeFillTint="66"/>
            <w:vAlign w:val="center"/>
          </w:tcPr>
          <w:p w:rsidR="0090478D" w:rsidRPr="0087521F" w:rsidRDefault="0090478D" w:rsidP="004A2057">
            <w:pPr>
              <w:jc w:val="center"/>
              <w:rPr>
                <w:b/>
                <w:sz w:val="28"/>
              </w:rPr>
            </w:pPr>
            <w:r w:rsidRPr="0087521F">
              <w:rPr>
                <w:b/>
                <w:sz w:val="28"/>
              </w:rPr>
              <w:t xml:space="preserve">AUTOVALUTAZIONE </w:t>
            </w:r>
          </w:p>
          <w:p w:rsidR="0090478D" w:rsidRPr="0087521F" w:rsidRDefault="0090478D" w:rsidP="004A2057">
            <w:pPr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 xml:space="preserve">(A CURA DEL </w:t>
            </w:r>
            <w:r w:rsidRPr="0087521F">
              <w:rPr>
                <w:b/>
                <w:color w:val="FF0000"/>
                <w:sz w:val="20"/>
              </w:rPr>
              <w:t>BENEFICIARIO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4535" w:type="dxa"/>
            <w:gridSpan w:val="2"/>
            <w:shd w:val="clear" w:color="auto" w:fill="B6DDE8" w:themeFill="accent5" w:themeFillTint="66"/>
            <w:vAlign w:val="center"/>
          </w:tcPr>
          <w:p w:rsidR="0090478D" w:rsidRPr="0087521F" w:rsidRDefault="0090478D" w:rsidP="004A205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CONTROLLO</w:t>
            </w:r>
          </w:p>
          <w:p w:rsidR="0090478D" w:rsidRPr="0087521F" w:rsidRDefault="0090478D" w:rsidP="004A2057">
            <w:pPr>
              <w:jc w:val="center"/>
              <w:rPr>
                <w:b/>
                <w:sz w:val="32"/>
              </w:rPr>
            </w:pPr>
            <w:r>
              <w:rPr>
                <w:b/>
                <w:sz w:val="20"/>
              </w:rPr>
              <w:t xml:space="preserve">(A CURA DEL </w:t>
            </w:r>
            <w:r w:rsidRPr="0087521F">
              <w:rPr>
                <w:b/>
                <w:color w:val="FF0000"/>
                <w:sz w:val="20"/>
              </w:rPr>
              <w:t>FUNZIONARIO REGIONALE</w:t>
            </w:r>
            <w:r>
              <w:rPr>
                <w:b/>
                <w:sz w:val="20"/>
              </w:rPr>
              <w:t>)</w:t>
            </w:r>
          </w:p>
        </w:tc>
      </w:tr>
      <w:tr w:rsidR="00B40678" w:rsidTr="004A2057">
        <w:trPr>
          <w:trHeight w:val="554"/>
        </w:trPr>
        <w:tc>
          <w:tcPr>
            <w:tcW w:w="6009" w:type="dxa"/>
            <w:vMerge/>
            <w:shd w:val="clear" w:color="auto" w:fill="B6DDE8" w:themeFill="accent5" w:themeFillTint="66"/>
          </w:tcPr>
          <w:p w:rsidR="0090478D" w:rsidRDefault="0090478D" w:rsidP="004A2057"/>
        </w:tc>
        <w:tc>
          <w:tcPr>
            <w:tcW w:w="2268" w:type="dxa"/>
            <w:shd w:val="clear" w:color="auto" w:fill="F2DBDB" w:themeFill="accent2" w:themeFillTint="33"/>
            <w:vAlign w:val="center"/>
          </w:tcPr>
          <w:p w:rsidR="0090478D" w:rsidRPr="00A20D66" w:rsidRDefault="0090478D" w:rsidP="004A2057">
            <w:pPr>
              <w:jc w:val="center"/>
              <w:rPr>
                <w:b/>
                <w:sz w:val="20"/>
              </w:rPr>
            </w:pPr>
            <w:r w:rsidRPr="00A20D66">
              <w:rPr>
                <w:b/>
                <w:sz w:val="20"/>
              </w:rPr>
              <w:t>PRE AGGIUDICAZIONE GARA</w:t>
            </w:r>
            <w:r w:rsidR="000B0431">
              <w:rPr>
                <w:b/>
                <w:sz w:val="20"/>
              </w:rPr>
              <w:t xml:space="preserve"> (</w:t>
            </w:r>
            <w:proofErr w:type="spellStart"/>
            <w:r w:rsidR="000B0431">
              <w:rPr>
                <w:b/>
                <w:sz w:val="20"/>
              </w:rPr>
              <w:t>all.A</w:t>
            </w:r>
            <w:proofErr w:type="spellEnd"/>
            <w:r w:rsidR="000B0431">
              <w:rPr>
                <w:b/>
                <w:sz w:val="20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  <w:vAlign w:val="center"/>
          </w:tcPr>
          <w:p w:rsidR="0090478D" w:rsidRPr="00A20D66" w:rsidRDefault="0090478D" w:rsidP="004A2057">
            <w:pPr>
              <w:jc w:val="center"/>
              <w:rPr>
                <w:b/>
                <w:sz w:val="20"/>
              </w:rPr>
            </w:pPr>
            <w:r w:rsidRPr="00A20D66">
              <w:rPr>
                <w:b/>
                <w:sz w:val="20"/>
              </w:rPr>
              <w:t>POST AGGIUDICAZIONE GARA</w:t>
            </w:r>
            <w:r w:rsidR="000B0431">
              <w:rPr>
                <w:b/>
                <w:sz w:val="20"/>
              </w:rPr>
              <w:t xml:space="preserve">  (</w:t>
            </w:r>
            <w:proofErr w:type="spellStart"/>
            <w:r w:rsidR="000B0431">
              <w:rPr>
                <w:b/>
                <w:sz w:val="20"/>
              </w:rPr>
              <w:t>all.B</w:t>
            </w:r>
            <w:proofErr w:type="spellEnd"/>
            <w:r w:rsidR="000B0431">
              <w:rPr>
                <w:b/>
                <w:sz w:val="20"/>
              </w:rPr>
              <w:t>)</w:t>
            </w:r>
          </w:p>
        </w:tc>
        <w:tc>
          <w:tcPr>
            <w:tcW w:w="2268" w:type="dxa"/>
            <w:shd w:val="clear" w:color="auto" w:fill="F2DBDB" w:themeFill="accent2" w:themeFillTint="33"/>
            <w:vAlign w:val="center"/>
          </w:tcPr>
          <w:p w:rsidR="0090478D" w:rsidRPr="00A20D66" w:rsidRDefault="0090478D" w:rsidP="004A2057">
            <w:pPr>
              <w:jc w:val="center"/>
              <w:rPr>
                <w:b/>
                <w:sz w:val="20"/>
              </w:rPr>
            </w:pPr>
            <w:r w:rsidRPr="00A20D66">
              <w:rPr>
                <w:b/>
                <w:sz w:val="20"/>
              </w:rPr>
              <w:t>PRE AGGIUDICAZIONE GARA</w:t>
            </w:r>
            <w:r w:rsidR="000B0431">
              <w:rPr>
                <w:b/>
                <w:sz w:val="20"/>
              </w:rPr>
              <w:t xml:space="preserve"> (</w:t>
            </w:r>
            <w:proofErr w:type="spellStart"/>
            <w:r w:rsidR="000B0431">
              <w:rPr>
                <w:b/>
                <w:sz w:val="20"/>
              </w:rPr>
              <w:t>all.C</w:t>
            </w:r>
            <w:proofErr w:type="spellEnd"/>
            <w:r w:rsidR="000B0431">
              <w:rPr>
                <w:b/>
                <w:sz w:val="20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  <w:vAlign w:val="center"/>
          </w:tcPr>
          <w:p w:rsidR="0090478D" w:rsidRPr="00A20D66" w:rsidRDefault="0090478D" w:rsidP="004A2057">
            <w:pPr>
              <w:jc w:val="center"/>
              <w:rPr>
                <w:b/>
                <w:sz w:val="20"/>
              </w:rPr>
            </w:pPr>
            <w:r w:rsidRPr="00A20D66">
              <w:rPr>
                <w:b/>
                <w:sz w:val="20"/>
              </w:rPr>
              <w:t>POST AGGIUDICAZIONE GARA</w:t>
            </w:r>
            <w:r w:rsidR="000B0431">
              <w:rPr>
                <w:b/>
                <w:sz w:val="20"/>
              </w:rPr>
              <w:t xml:space="preserve"> (</w:t>
            </w:r>
            <w:proofErr w:type="spellStart"/>
            <w:r w:rsidR="000B0431">
              <w:rPr>
                <w:b/>
                <w:sz w:val="20"/>
              </w:rPr>
              <w:t>all.D</w:t>
            </w:r>
            <w:proofErr w:type="spellEnd"/>
            <w:r w:rsidR="000B0431">
              <w:rPr>
                <w:b/>
                <w:sz w:val="20"/>
              </w:rPr>
              <w:t>)</w:t>
            </w:r>
          </w:p>
        </w:tc>
      </w:tr>
      <w:tr w:rsidR="00B40678" w:rsidTr="004A2057">
        <w:trPr>
          <w:trHeight w:val="51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B65DCC">
              <w:rPr>
                <w:b/>
              </w:rPr>
              <w:t>A</w:t>
            </w:r>
            <w:r w:rsidRPr="005D4625">
              <w:t xml:space="preserve"> - dati identificativi </w:t>
            </w:r>
          </w:p>
        </w:tc>
        <w:tc>
          <w:tcPr>
            <w:tcW w:w="2268" w:type="dxa"/>
            <w:vMerge w:val="restart"/>
            <w:vAlign w:val="center"/>
          </w:tcPr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F74EA2" w:rsidRDefault="000B0431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>
              <w:rPr>
                <w:b/>
                <w:i/>
                <w:color w:val="215868" w:themeColor="accent5" w:themeShade="80"/>
                <w:sz w:val="20"/>
              </w:rPr>
              <w:t>A_B_C_D_E_</w:t>
            </w:r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definitivo_</w:t>
            </w:r>
          </w:p>
          <w:p w:rsidR="0090478D" w:rsidRPr="00E7282A" w:rsidRDefault="00F74EA2" w:rsidP="004A2057">
            <w:pPr>
              <w:jc w:val="center"/>
              <w:rPr>
                <w:b/>
                <w:i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04.06.2018</w:t>
            </w:r>
          </w:p>
        </w:tc>
        <w:tc>
          <w:tcPr>
            <w:tcW w:w="2268" w:type="dxa"/>
            <w:vMerge w:val="restart"/>
            <w:vAlign w:val="center"/>
          </w:tcPr>
          <w:p w:rsidR="0090478D" w:rsidRPr="00E7282A" w:rsidRDefault="0090478D" w:rsidP="004A2057">
            <w:pPr>
              <w:jc w:val="center"/>
              <w:rPr>
                <w:b/>
                <w:i/>
                <w:sz w:val="20"/>
              </w:rPr>
            </w:pPr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A_B_C_D_E_Q_</w:t>
            </w:r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definitivo_</w:t>
            </w:r>
          </w:p>
          <w:p w:rsidR="0090478D" w:rsidRPr="00E7282A" w:rsidRDefault="00F74EA2" w:rsidP="004A2057">
            <w:pPr>
              <w:jc w:val="center"/>
              <w:rPr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04.06.2018</w:t>
            </w:r>
          </w:p>
        </w:tc>
        <w:tc>
          <w:tcPr>
            <w:tcW w:w="2268" w:type="dxa"/>
            <w:vMerge w:val="restart"/>
            <w:vAlign w:val="center"/>
          </w:tcPr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F74EA2" w:rsidRDefault="000B0431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>
              <w:rPr>
                <w:b/>
                <w:i/>
                <w:color w:val="215868" w:themeColor="accent5" w:themeShade="80"/>
                <w:sz w:val="20"/>
              </w:rPr>
              <w:t>A_B_C_D_E_</w:t>
            </w:r>
            <w:bookmarkStart w:id="0" w:name="_GoBack"/>
            <w:bookmarkEnd w:id="0"/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definitivo_</w:t>
            </w:r>
          </w:p>
          <w:p w:rsidR="0090478D" w:rsidRPr="00E7282A" w:rsidRDefault="00F74EA2" w:rsidP="004A2057">
            <w:pPr>
              <w:jc w:val="center"/>
              <w:rPr>
                <w:b/>
                <w:i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04.06.2018</w:t>
            </w:r>
          </w:p>
        </w:tc>
        <w:tc>
          <w:tcPr>
            <w:tcW w:w="2268" w:type="dxa"/>
            <w:vMerge w:val="restart"/>
            <w:vAlign w:val="center"/>
          </w:tcPr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A_B_C_D_E_Q_</w:t>
            </w:r>
          </w:p>
          <w:p w:rsidR="00F74EA2" w:rsidRDefault="00F74EA2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definitivo_</w:t>
            </w:r>
          </w:p>
          <w:p w:rsidR="0090478D" w:rsidRPr="00E7282A" w:rsidRDefault="00F74EA2" w:rsidP="004A2057">
            <w:pPr>
              <w:jc w:val="center"/>
              <w:rPr>
                <w:b/>
                <w:i/>
                <w:sz w:val="20"/>
              </w:rPr>
            </w:pPr>
            <w:r w:rsidRPr="00F74EA2">
              <w:rPr>
                <w:b/>
                <w:i/>
                <w:color w:val="215868" w:themeColor="accent5" w:themeShade="80"/>
                <w:sz w:val="20"/>
              </w:rPr>
              <w:t>04.06.2018</w:t>
            </w:r>
          </w:p>
        </w:tc>
      </w:tr>
      <w:tr w:rsidR="00B40678" w:rsidTr="004A2057">
        <w:trPr>
          <w:trHeight w:val="51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1702E7">
              <w:rPr>
                <w:b/>
              </w:rPr>
              <w:t>B</w:t>
            </w:r>
            <w:r w:rsidRPr="005D4625">
              <w:t xml:space="preserve"> – checklist – procedura di verifica della fase di programmazione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</w:tr>
      <w:tr w:rsidR="00B40678" w:rsidTr="004A2057">
        <w:trPr>
          <w:trHeight w:val="51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1702E7">
              <w:rPr>
                <w:b/>
              </w:rPr>
              <w:t>C</w:t>
            </w:r>
            <w:r w:rsidRPr="005D4625">
              <w:t xml:space="preserve"> – checklist – procedura di verifica della fase di progettazione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</w:tr>
      <w:tr w:rsidR="00B40678" w:rsidTr="004A2057">
        <w:trPr>
          <w:trHeight w:val="51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1702E7">
              <w:rPr>
                <w:b/>
              </w:rPr>
              <w:t>D</w:t>
            </w:r>
            <w:r w:rsidRPr="005D4625">
              <w:t xml:space="preserve"> – informazioni generali: procedura; stazione appaltante; oggetto appalto; criterio aggiudicazione; settore; </w:t>
            </w:r>
            <w:proofErr w:type="spellStart"/>
            <w:r w:rsidRPr="005D4625">
              <w:t>rup</w:t>
            </w:r>
            <w:proofErr w:type="spellEnd"/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</w:tr>
      <w:tr w:rsidR="00B40678" w:rsidTr="004A2057">
        <w:trPr>
          <w:trHeight w:val="51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1702E7">
              <w:rPr>
                <w:b/>
              </w:rPr>
              <w:t>E</w:t>
            </w:r>
            <w:r w:rsidRPr="005D4625">
              <w:t xml:space="preserve"> - verifica tipo di procedura adottata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</w:tr>
      <w:tr w:rsidR="00B40678" w:rsidTr="004A2057">
        <w:trPr>
          <w:trHeight w:val="51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1702E7">
              <w:rPr>
                <w:b/>
              </w:rPr>
              <w:t>Q</w:t>
            </w:r>
            <w:r w:rsidRPr="005D4625">
              <w:t xml:space="preserve">  - checklist - esecuzione del contratto</w:t>
            </w:r>
            <w:r>
              <w:t xml:space="preserve"> </w:t>
            </w:r>
            <w:r w:rsidRPr="001702E7">
              <w:rPr>
                <w:b/>
                <w:color w:val="FF0000"/>
                <w:sz w:val="24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>
            <w:pPr>
              <w:jc w:val="center"/>
            </w:pPr>
          </w:p>
        </w:tc>
        <w:tc>
          <w:tcPr>
            <w:tcW w:w="2268" w:type="dxa"/>
            <w:vMerge w:val="restart"/>
            <w:shd w:val="clear" w:color="auto" w:fill="BFBFBF" w:themeFill="background1" w:themeFillShade="BF"/>
            <w:vAlign w:val="center"/>
          </w:tcPr>
          <w:p w:rsidR="0090478D" w:rsidRDefault="0090478D" w:rsidP="004A2057"/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t>F</w:t>
            </w:r>
            <w:r w:rsidRPr="005D4625">
              <w:t xml:space="preserve"> - checklist - procedura negoziata semplificata sotto soglia (art. 36)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F_AFFIDAMENTO DIRETTO_</w:t>
            </w:r>
          </w:p>
          <w:p w:rsidR="0090478D" w:rsidRDefault="00A76A7A" w:rsidP="004A2057">
            <w:pPr>
              <w:jc w:val="center"/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F_AFFIDAMENTO DIRETTO_</w:t>
            </w:r>
          </w:p>
          <w:p w:rsidR="0090478D" w:rsidRDefault="00A76A7A" w:rsidP="004A2057">
            <w:r w:rsidRPr="00A76A7A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t>G</w:t>
            </w:r>
            <w:r w:rsidRPr="005D4625">
              <w:t xml:space="preserve"> - checklist - procedura competitiva con negoziazione (art. 62)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G_PROCEDURA COMPETITIVA_</w:t>
            </w:r>
          </w:p>
          <w:p w:rsidR="0090478D" w:rsidRDefault="00A76A7A" w:rsidP="004A2057">
            <w:pPr>
              <w:jc w:val="center"/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A76A7A" w:rsidRDefault="00A76A7A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A76A7A">
              <w:rPr>
                <w:b/>
                <w:i/>
                <w:color w:val="215868" w:themeColor="accent5" w:themeShade="80"/>
                <w:sz w:val="20"/>
              </w:rPr>
              <w:t>G_PROCEDURA COMPETITIVA_</w:t>
            </w:r>
          </w:p>
          <w:p w:rsidR="0090478D" w:rsidRDefault="00A76A7A" w:rsidP="004A2057">
            <w:r w:rsidRPr="00A76A7A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t>H</w:t>
            </w:r>
            <w:r w:rsidRPr="005D4625">
              <w:t xml:space="preserve"> - checklist - procedura negoziata senza pubblicazione di bando di gara (art. 63)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C3142E" w:rsidRDefault="00C3142E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C3142E">
              <w:rPr>
                <w:b/>
                <w:i/>
                <w:color w:val="215868" w:themeColor="accent5" w:themeShade="80"/>
                <w:sz w:val="20"/>
              </w:rPr>
              <w:t>Manuale_CL_vers_2.4</w:t>
            </w:r>
          </w:p>
          <w:p w:rsidR="00C3142E" w:rsidRDefault="00C3142E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C3142E">
              <w:rPr>
                <w:b/>
                <w:i/>
                <w:color w:val="215868" w:themeColor="accent5" w:themeShade="80"/>
                <w:sz w:val="20"/>
              </w:rPr>
              <w:t>_H_PROCEDURA NEGOZIATA_</w:t>
            </w:r>
          </w:p>
          <w:p w:rsidR="0090478D" w:rsidRDefault="00C3142E" w:rsidP="004A2057">
            <w:pPr>
              <w:jc w:val="center"/>
            </w:pPr>
            <w:r w:rsidRPr="00C3142E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C3142E" w:rsidRDefault="00C3142E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C3142E">
              <w:rPr>
                <w:b/>
                <w:i/>
                <w:color w:val="215868" w:themeColor="accent5" w:themeShade="80"/>
                <w:sz w:val="20"/>
              </w:rPr>
              <w:t>Manuale_CL_vers_2.4</w:t>
            </w:r>
          </w:p>
          <w:p w:rsidR="00C3142E" w:rsidRDefault="00C3142E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C3142E">
              <w:rPr>
                <w:b/>
                <w:i/>
                <w:color w:val="215868" w:themeColor="accent5" w:themeShade="80"/>
                <w:sz w:val="20"/>
              </w:rPr>
              <w:t>_H_PROCEDURA NEGOZIATA_</w:t>
            </w:r>
          </w:p>
          <w:p w:rsidR="0090478D" w:rsidRDefault="00C3142E" w:rsidP="004A2057">
            <w:r w:rsidRPr="00C3142E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t>I</w:t>
            </w:r>
            <w:r w:rsidRPr="005D4625">
              <w:t xml:space="preserve"> - checklist - procedura ristretta (art. 61)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I_PROCEDURA RISTRETTA_</w:t>
            </w:r>
          </w:p>
          <w:p w:rsidR="0090478D" w:rsidRDefault="00B40678" w:rsidP="004A2057">
            <w:pPr>
              <w:jc w:val="center"/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I_PROCEDURA RISTRETTA_</w:t>
            </w:r>
          </w:p>
          <w:p w:rsidR="0090478D" w:rsidRDefault="00B40678" w:rsidP="004A2057"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lastRenderedPageBreak/>
              <w:t>L</w:t>
            </w:r>
            <w:r w:rsidRPr="005D4625">
              <w:t xml:space="preserve"> - checklist - procedura aperta (art. 60)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L_PROCEDURA APERTA_</w:t>
            </w:r>
          </w:p>
          <w:p w:rsidR="0090478D" w:rsidRDefault="00B40678" w:rsidP="004A2057">
            <w:pPr>
              <w:jc w:val="center"/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L_PROCEDURA APERTA_</w:t>
            </w:r>
          </w:p>
          <w:p w:rsidR="0090478D" w:rsidRDefault="00B40678" w:rsidP="004A2057"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t>M</w:t>
            </w:r>
            <w:r w:rsidRPr="005D4625">
              <w:t xml:space="preserve"> -checklist - servizi attinenti all’architettura e ingegneria (art. 157)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_M_SERVIZI ARCHITETTURA_</w:t>
            </w:r>
          </w:p>
          <w:p w:rsidR="0090478D" w:rsidRDefault="00B40678" w:rsidP="004A2057">
            <w:pPr>
              <w:jc w:val="center"/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_M_SERVIZI ARCHITETTURA_</w:t>
            </w:r>
          </w:p>
          <w:p w:rsidR="0090478D" w:rsidRDefault="00B40678" w:rsidP="004A2057"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Pr="005D4625" w:rsidRDefault="0090478D" w:rsidP="004A2057">
            <w:r w:rsidRPr="00AC70A9">
              <w:rPr>
                <w:b/>
              </w:rPr>
              <w:t>N</w:t>
            </w:r>
            <w:r w:rsidRPr="005D4625">
              <w:t xml:space="preserve"> - checklist - affidamenti in house (artt. 5 e 192)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N_AFFIDAMENTI IN HOUSE_</w:t>
            </w:r>
          </w:p>
          <w:p w:rsidR="0090478D" w:rsidRDefault="00B40678" w:rsidP="004A2057">
            <w:pPr>
              <w:jc w:val="center"/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N_AFFIDAMENTI IN HOUSE_</w:t>
            </w:r>
          </w:p>
          <w:p w:rsidR="0090478D" w:rsidRDefault="00B40678" w:rsidP="004A2057"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  <w:tr w:rsidR="00B40678" w:rsidTr="004A2057">
        <w:trPr>
          <w:trHeight w:val="850"/>
        </w:trPr>
        <w:tc>
          <w:tcPr>
            <w:tcW w:w="6009" w:type="dxa"/>
            <w:vAlign w:val="center"/>
          </w:tcPr>
          <w:p w:rsidR="0090478D" w:rsidRDefault="0090478D" w:rsidP="004A2057">
            <w:r w:rsidRPr="00AC70A9">
              <w:rPr>
                <w:b/>
              </w:rPr>
              <w:t>O</w:t>
            </w:r>
            <w:r w:rsidRPr="005D4625">
              <w:t xml:space="preserve"> - checklist – amministrazione diretta  (art. 36, comma 2, lettere a,b)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O_AMM. DIRETTA_</w:t>
            </w:r>
          </w:p>
          <w:p w:rsidR="0090478D" w:rsidRDefault="00B40678" w:rsidP="004A2057">
            <w:pPr>
              <w:jc w:val="center"/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  <w:tc>
          <w:tcPr>
            <w:tcW w:w="2268" w:type="dxa"/>
            <w:vMerge/>
            <w:vAlign w:val="center"/>
          </w:tcPr>
          <w:p w:rsidR="0090478D" w:rsidRDefault="0090478D" w:rsidP="004A2057"/>
        </w:tc>
        <w:tc>
          <w:tcPr>
            <w:tcW w:w="2268" w:type="dxa"/>
            <w:vAlign w:val="center"/>
          </w:tcPr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Manuale_CL_vers_2.4_</w:t>
            </w:r>
          </w:p>
          <w:p w:rsidR="00B40678" w:rsidRDefault="00B40678" w:rsidP="004A2057">
            <w:pPr>
              <w:jc w:val="center"/>
              <w:rPr>
                <w:b/>
                <w:i/>
                <w:color w:val="215868" w:themeColor="accent5" w:themeShade="80"/>
                <w:sz w:val="20"/>
              </w:rPr>
            </w:pPr>
            <w:r w:rsidRPr="00B40678">
              <w:rPr>
                <w:b/>
                <w:i/>
                <w:color w:val="215868" w:themeColor="accent5" w:themeShade="80"/>
                <w:sz w:val="20"/>
              </w:rPr>
              <w:t>O_AMM. DIRETTA_</w:t>
            </w:r>
          </w:p>
          <w:p w:rsidR="0090478D" w:rsidRDefault="00B40678" w:rsidP="004A2057">
            <w:r w:rsidRPr="00B40678">
              <w:rPr>
                <w:b/>
                <w:i/>
                <w:color w:val="215868" w:themeColor="accent5" w:themeShade="80"/>
                <w:sz w:val="20"/>
              </w:rPr>
              <w:t>definitivo_04.06.2018</w:t>
            </w:r>
          </w:p>
        </w:tc>
      </w:tr>
    </w:tbl>
    <w:p w:rsidR="00C126A2" w:rsidRDefault="00C126A2"/>
    <w:p w:rsidR="001702E7" w:rsidRDefault="001702E7">
      <w:r w:rsidRPr="001702E7">
        <w:rPr>
          <w:b/>
          <w:color w:val="FF0000"/>
          <w:sz w:val="24"/>
        </w:rPr>
        <w:t>*</w:t>
      </w:r>
      <w:r>
        <w:t xml:space="preserve"> l’allegato Q, dovrà essere compilato in AUTOVALUTAZIONE (dal beneficiario) e compi</w:t>
      </w:r>
      <w:r w:rsidR="00B40678">
        <w:t>lato in fase di CONTROLLO (dal funzionario regionale)</w:t>
      </w:r>
    </w:p>
    <w:sectPr w:rsidR="001702E7" w:rsidSect="00904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6F4" w:rsidRDefault="000856F4" w:rsidP="0090478D">
      <w:pPr>
        <w:spacing w:after="0" w:line="240" w:lineRule="auto"/>
      </w:pPr>
      <w:r>
        <w:separator/>
      </w:r>
    </w:p>
  </w:endnote>
  <w:endnote w:type="continuationSeparator" w:id="0">
    <w:p w:rsidR="000856F4" w:rsidRDefault="000856F4" w:rsidP="0090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56" w:rsidRDefault="00C77B5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56" w:rsidRDefault="00C77B5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56" w:rsidRDefault="00C77B5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6F4" w:rsidRDefault="000856F4" w:rsidP="0090478D">
      <w:pPr>
        <w:spacing w:after="0" w:line="240" w:lineRule="auto"/>
      </w:pPr>
      <w:r>
        <w:separator/>
      </w:r>
    </w:p>
  </w:footnote>
  <w:footnote w:type="continuationSeparator" w:id="0">
    <w:p w:rsidR="000856F4" w:rsidRDefault="000856F4" w:rsidP="0090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56" w:rsidRDefault="00C77B5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82A" w:rsidRDefault="00E7282A" w:rsidP="0090478D">
    <w:pPr>
      <w:pStyle w:val="Nessunaspaziatura"/>
      <w:jc w:val="center"/>
      <w:rPr>
        <w:b/>
        <w:sz w:val="24"/>
      </w:rPr>
    </w:pPr>
    <w:r w:rsidRPr="0090478D">
      <w:rPr>
        <w:b/>
        <w:sz w:val="24"/>
      </w:rPr>
      <w:t>ELENCO DEI QUADRI E DEI MANUALI DELLE CHECK LIST CON INDICAZIONE DEI FILE DA UTILIZZARE</w:t>
    </w:r>
  </w:p>
  <w:p w:rsidR="00C77B56" w:rsidRDefault="00C77B56" w:rsidP="0090478D">
    <w:pPr>
      <w:pStyle w:val="Nessunaspaziatura"/>
      <w:jc w:val="center"/>
      <w:rPr>
        <w:b/>
        <w:sz w:val="24"/>
      </w:rPr>
    </w:pP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</w:r>
    <w:r>
      <w:rPr>
        <w:b/>
        <w:sz w:val="24"/>
      </w:rPr>
      <w:tab/>
      <w:t xml:space="preserve">Modello </w:t>
    </w:r>
    <w:r w:rsidR="001469AD">
      <w:rPr>
        <w:b/>
        <w:sz w:val="24"/>
      </w:rPr>
      <w:t>4</w:t>
    </w:r>
  </w:p>
  <w:p w:rsidR="00712216" w:rsidRDefault="00712216" w:rsidP="0090478D">
    <w:pPr>
      <w:pStyle w:val="Nessunaspaziatura"/>
      <w:jc w:val="center"/>
      <w:rPr>
        <w:b/>
        <w:sz w:val="24"/>
      </w:rPr>
    </w:pPr>
  </w:p>
  <w:p w:rsidR="00C77B56" w:rsidRDefault="00C77B56" w:rsidP="0090478D">
    <w:pPr>
      <w:pStyle w:val="Nessunaspaziatura"/>
      <w:jc w:val="center"/>
      <w:rPr>
        <w:b/>
        <w:sz w:val="24"/>
      </w:rPr>
    </w:pPr>
  </w:p>
  <w:p w:rsidR="00C77B56" w:rsidRPr="0090478D" w:rsidRDefault="00C77B56" w:rsidP="0090478D">
    <w:pPr>
      <w:pStyle w:val="Nessunaspaziatura"/>
      <w:jc w:val="center"/>
      <w:rPr>
        <w:b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56" w:rsidRDefault="00C77B5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D7A69"/>
    <w:multiLevelType w:val="hybridMultilevel"/>
    <w:tmpl w:val="A0763AB6"/>
    <w:lvl w:ilvl="0" w:tplc="5AC0F2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FF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93B"/>
    <w:rsid w:val="000856F4"/>
    <w:rsid w:val="000B0431"/>
    <w:rsid w:val="00102AEA"/>
    <w:rsid w:val="001469AD"/>
    <w:rsid w:val="001702E7"/>
    <w:rsid w:val="001E50ED"/>
    <w:rsid w:val="002F269C"/>
    <w:rsid w:val="0040010F"/>
    <w:rsid w:val="0049430A"/>
    <w:rsid w:val="00494D53"/>
    <w:rsid w:val="004A2057"/>
    <w:rsid w:val="004C12C1"/>
    <w:rsid w:val="0051314C"/>
    <w:rsid w:val="00592A52"/>
    <w:rsid w:val="0061217D"/>
    <w:rsid w:val="0061393B"/>
    <w:rsid w:val="006D3D5F"/>
    <w:rsid w:val="00712216"/>
    <w:rsid w:val="00795DEB"/>
    <w:rsid w:val="0087521F"/>
    <w:rsid w:val="008A24F6"/>
    <w:rsid w:val="008C7EE5"/>
    <w:rsid w:val="0090478D"/>
    <w:rsid w:val="00A20D66"/>
    <w:rsid w:val="00A76A7A"/>
    <w:rsid w:val="00A778C2"/>
    <w:rsid w:val="00AC70A9"/>
    <w:rsid w:val="00AD6D57"/>
    <w:rsid w:val="00B368A8"/>
    <w:rsid w:val="00B40678"/>
    <w:rsid w:val="00B65DCC"/>
    <w:rsid w:val="00B86C5B"/>
    <w:rsid w:val="00C126A2"/>
    <w:rsid w:val="00C3142E"/>
    <w:rsid w:val="00C77B56"/>
    <w:rsid w:val="00DA1626"/>
    <w:rsid w:val="00E20658"/>
    <w:rsid w:val="00E7282A"/>
    <w:rsid w:val="00E80C50"/>
    <w:rsid w:val="00F7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21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5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702E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47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8D"/>
  </w:style>
  <w:style w:type="paragraph" w:styleId="Pidipagina">
    <w:name w:val="footer"/>
    <w:basedOn w:val="Normale"/>
    <w:link w:val="PidipaginaCarattere"/>
    <w:uiPriority w:val="99"/>
    <w:unhideWhenUsed/>
    <w:rsid w:val="009047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8D"/>
  </w:style>
  <w:style w:type="paragraph" w:styleId="Nessunaspaziatura">
    <w:name w:val="No Spacing"/>
    <w:uiPriority w:val="1"/>
    <w:qFormat/>
    <w:rsid w:val="009047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5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702E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47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8D"/>
  </w:style>
  <w:style w:type="paragraph" w:styleId="Pidipagina">
    <w:name w:val="footer"/>
    <w:basedOn w:val="Normale"/>
    <w:link w:val="PidipaginaCarattere"/>
    <w:uiPriority w:val="99"/>
    <w:unhideWhenUsed/>
    <w:rsid w:val="009047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8D"/>
  </w:style>
  <w:style w:type="paragraph" w:styleId="Nessunaspaziatura">
    <w:name w:val="No Spacing"/>
    <w:uiPriority w:val="1"/>
    <w:qFormat/>
    <w:rsid w:val="009047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a.anemolo</cp:lastModifiedBy>
  <cp:revision>4</cp:revision>
  <cp:lastPrinted>2018-12-05T10:59:00Z</cp:lastPrinted>
  <dcterms:created xsi:type="dcterms:W3CDTF">2018-11-29T10:57:00Z</dcterms:created>
  <dcterms:modified xsi:type="dcterms:W3CDTF">2018-12-06T14:18:00Z</dcterms:modified>
</cp:coreProperties>
</file>